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43" w:rsidRPr="00D46AE3" w:rsidRDefault="00696302" w:rsidP="00D46AE3">
      <w:pPr>
        <w:jc w:val="center"/>
        <w:rPr>
          <w:b/>
          <w:sz w:val="36"/>
          <w:szCs w:val="36"/>
        </w:rPr>
      </w:pPr>
      <w:r w:rsidRPr="00D46AE3">
        <w:rPr>
          <w:b/>
          <w:sz w:val="36"/>
          <w:szCs w:val="36"/>
        </w:rPr>
        <w:t xml:space="preserve">IAHPERD Waiver Response </w:t>
      </w:r>
      <w:r w:rsidR="00CD3E05" w:rsidRPr="00D46AE3">
        <w:rPr>
          <w:b/>
          <w:sz w:val="36"/>
          <w:szCs w:val="36"/>
        </w:rPr>
        <w:t>Fact Sheet</w:t>
      </w:r>
    </w:p>
    <w:p w:rsidR="00696302" w:rsidRPr="00340E0A" w:rsidRDefault="00696302">
      <w:pPr>
        <w:rPr>
          <w:rFonts w:ascii="Arial" w:hAnsi="Arial" w:cs="Arial"/>
          <w:sz w:val="24"/>
          <w:szCs w:val="24"/>
        </w:rPr>
      </w:pPr>
      <w:r w:rsidRPr="00340E0A">
        <w:rPr>
          <w:rFonts w:ascii="Arial" w:hAnsi="Arial" w:cs="Arial"/>
          <w:b/>
          <w:sz w:val="24"/>
          <w:szCs w:val="24"/>
        </w:rPr>
        <w:t xml:space="preserve">Current </w:t>
      </w:r>
      <w:r w:rsidR="006C6727">
        <w:rPr>
          <w:rFonts w:ascii="Arial" w:hAnsi="Arial" w:cs="Arial"/>
          <w:b/>
          <w:sz w:val="24"/>
          <w:szCs w:val="24"/>
        </w:rPr>
        <w:t xml:space="preserve">Illinois </w:t>
      </w:r>
      <w:r w:rsidRPr="00340E0A">
        <w:rPr>
          <w:rFonts w:ascii="Arial" w:hAnsi="Arial" w:cs="Arial"/>
          <w:b/>
          <w:sz w:val="24"/>
          <w:szCs w:val="24"/>
        </w:rPr>
        <w:t>School Code states that students engage in Physical Educatio</w:t>
      </w:r>
      <w:r w:rsidR="006C6727">
        <w:rPr>
          <w:rFonts w:ascii="Arial" w:hAnsi="Arial" w:cs="Arial"/>
          <w:b/>
          <w:sz w:val="24"/>
          <w:szCs w:val="24"/>
        </w:rPr>
        <w:t>n for a minimum of 3 days per 5-day</w:t>
      </w:r>
      <w:r w:rsidRPr="00340E0A">
        <w:rPr>
          <w:rFonts w:ascii="Arial" w:hAnsi="Arial" w:cs="Arial"/>
          <w:b/>
          <w:sz w:val="24"/>
          <w:szCs w:val="24"/>
        </w:rPr>
        <w:t xml:space="preserve"> week.</w:t>
      </w:r>
      <w:r w:rsidR="00095DA8" w:rsidRPr="00340E0A">
        <w:rPr>
          <w:rFonts w:ascii="Arial" w:hAnsi="Arial" w:cs="Arial"/>
          <w:b/>
          <w:sz w:val="24"/>
          <w:szCs w:val="24"/>
        </w:rPr>
        <w:t xml:space="preserve">  </w:t>
      </w:r>
      <w:r w:rsidR="00095DA8" w:rsidRPr="00340E0A">
        <w:rPr>
          <w:rFonts w:ascii="Arial" w:hAnsi="Arial" w:cs="Arial"/>
          <w:sz w:val="24"/>
          <w:szCs w:val="24"/>
        </w:rPr>
        <w:t>This means that school boards can legally offer 3 days a week of PE without filing any type of request for anything.</w:t>
      </w:r>
    </w:p>
    <w:p w:rsidR="00095DA8" w:rsidRPr="00340E0A" w:rsidRDefault="00095DA8">
      <w:pPr>
        <w:rPr>
          <w:rFonts w:ascii="Arial" w:hAnsi="Arial" w:cs="Arial"/>
          <w:sz w:val="24"/>
          <w:szCs w:val="24"/>
        </w:rPr>
      </w:pPr>
      <w:r w:rsidRPr="00340E0A">
        <w:rPr>
          <w:rFonts w:ascii="Arial" w:hAnsi="Arial" w:cs="Arial"/>
          <w:sz w:val="24"/>
          <w:szCs w:val="24"/>
        </w:rPr>
        <w:t>An “</w:t>
      </w:r>
      <w:r w:rsidRPr="00340E0A">
        <w:rPr>
          <w:rFonts w:ascii="Arial" w:hAnsi="Arial" w:cs="Arial"/>
          <w:b/>
          <w:sz w:val="24"/>
          <w:szCs w:val="24"/>
        </w:rPr>
        <w:t>exemption</w:t>
      </w:r>
      <w:r w:rsidRPr="00340E0A">
        <w:rPr>
          <w:rFonts w:ascii="Arial" w:hAnsi="Arial" w:cs="Arial"/>
          <w:sz w:val="24"/>
          <w:szCs w:val="24"/>
        </w:rPr>
        <w:t>” is what the Illinois School Code allows for</w:t>
      </w:r>
      <w:r w:rsidR="006C6727">
        <w:rPr>
          <w:rFonts w:ascii="Arial" w:hAnsi="Arial" w:cs="Arial"/>
          <w:sz w:val="24"/>
          <w:szCs w:val="24"/>
        </w:rPr>
        <w:t xml:space="preserve"> the removal of a student from Physical E</w:t>
      </w:r>
      <w:bookmarkStart w:id="0" w:name="_GoBack"/>
      <w:bookmarkEnd w:id="0"/>
      <w:r w:rsidRPr="00340E0A">
        <w:rPr>
          <w:rFonts w:ascii="Arial" w:hAnsi="Arial" w:cs="Arial"/>
          <w:sz w:val="24"/>
          <w:szCs w:val="24"/>
        </w:rPr>
        <w:t xml:space="preserve">ducation.  These are already in the school code and decided by the local school board-no paperwork needed.  </w:t>
      </w:r>
    </w:p>
    <w:p w:rsidR="00D46AE3" w:rsidRPr="00340E0A" w:rsidRDefault="00D46AE3" w:rsidP="00D46AE3">
      <w:pPr>
        <w:rPr>
          <w:rFonts w:ascii="Arial" w:hAnsi="Arial" w:cs="Arial"/>
          <w:sz w:val="24"/>
          <w:szCs w:val="24"/>
        </w:rPr>
      </w:pPr>
      <w:r w:rsidRPr="00340E0A">
        <w:rPr>
          <w:rFonts w:ascii="Arial" w:hAnsi="Arial" w:cs="Arial"/>
          <w:sz w:val="24"/>
          <w:szCs w:val="24"/>
        </w:rPr>
        <w:t>A “</w:t>
      </w:r>
      <w:r w:rsidRPr="00340E0A">
        <w:rPr>
          <w:rFonts w:ascii="Arial" w:hAnsi="Arial" w:cs="Arial"/>
          <w:b/>
          <w:sz w:val="24"/>
          <w:szCs w:val="24"/>
        </w:rPr>
        <w:t>waiver</w:t>
      </w:r>
      <w:r w:rsidRPr="00340E0A">
        <w:rPr>
          <w:rFonts w:ascii="Arial" w:hAnsi="Arial" w:cs="Arial"/>
          <w:sz w:val="24"/>
          <w:szCs w:val="24"/>
        </w:rPr>
        <w:t>” is any other exemption the school district wants to create.  An application must be filed with the ISBE.  A public hearing must take place and must be announced.</w:t>
      </w:r>
      <w:r w:rsidR="006C6727">
        <w:rPr>
          <w:rFonts w:ascii="Arial" w:hAnsi="Arial" w:cs="Arial"/>
          <w:sz w:val="24"/>
          <w:szCs w:val="24"/>
        </w:rPr>
        <w:t xml:space="preserve"> (examples in the chart)</w:t>
      </w:r>
    </w:p>
    <w:tbl>
      <w:tblPr>
        <w:tblStyle w:val="TableGrid"/>
        <w:tblpPr w:leftFromText="180" w:rightFromText="180" w:vertAnchor="text" w:horzAnchor="margin" w:tblpXSpec="center" w:tblpY="-52"/>
        <w:tblW w:w="0" w:type="auto"/>
        <w:tblLook w:val="04A0" w:firstRow="1" w:lastRow="0" w:firstColumn="1" w:lastColumn="0" w:noHBand="0" w:noVBand="1"/>
      </w:tblPr>
      <w:tblGrid>
        <w:gridCol w:w="4675"/>
        <w:gridCol w:w="4675"/>
      </w:tblGrid>
      <w:tr w:rsidR="00D46AE3" w:rsidTr="00D46AE3">
        <w:trPr>
          <w:trHeight w:val="618"/>
        </w:trPr>
        <w:tc>
          <w:tcPr>
            <w:tcW w:w="4675" w:type="dxa"/>
            <w:vAlign w:val="center"/>
          </w:tcPr>
          <w:p w:rsidR="00D46AE3" w:rsidRPr="00095DA8" w:rsidRDefault="00D46AE3" w:rsidP="00D46AE3">
            <w:pPr>
              <w:jc w:val="center"/>
              <w:rPr>
                <w:rFonts w:ascii="Arial" w:hAnsi="Arial" w:cs="Arial"/>
                <w:sz w:val="40"/>
                <w:szCs w:val="40"/>
              </w:rPr>
            </w:pPr>
            <w:r w:rsidRPr="00095DA8">
              <w:rPr>
                <w:rFonts w:ascii="Arial" w:hAnsi="Arial" w:cs="Arial"/>
                <w:sz w:val="40"/>
                <w:szCs w:val="40"/>
              </w:rPr>
              <w:t>Allowable Exemptions</w:t>
            </w:r>
          </w:p>
        </w:tc>
        <w:tc>
          <w:tcPr>
            <w:tcW w:w="4675" w:type="dxa"/>
            <w:vAlign w:val="center"/>
          </w:tcPr>
          <w:p w:rsidR="00D46AE3" w:rsidRPr="00095DA8" w:rsidRDefault="00D46AE3" w:rsidP="00D46AE3">
            <w:pPr>
              <w:jc w:val="center"/>
              <w:rPr>
                <w:rFonts w:ascii="Arial" w:hAnsi="Arial" w:cs="Arial"/>
                <w:sz w:val="40"/>
                <w:szCs w:val="40"/>
              </w:rPr>
            </w:pPr>
            <w:r w:rsidRPr="00095DA8">
              <w:rPr>
                <w:rFonts w:ascii="Arial" w:hAnsi="Arial" w:cs="Arial"/>
                <w:sz w:val="40"/>
                <w:szCs w:val="40"/>
              </w:rPr>
              <w:t>Waivers</w:t>
            </w:r>
            <w:r>
              <w:rPr>
                <w:rFonts w:ascii="Arial" w:hAnsi="Arial" w:cs="Arial"/>
                <w:sz w:val="40"/>
                <w:szCs w:val="40"/>
              </w:rPr>
              <w:t xml:space="preserve"> (examples)</w:t>
            </w:r>
          </w:p>
        </w:tc>
      </w:tr>
      <w:tr w:rsidR="00D46AE3" w:rsidTr="00D46AE3">
        <w:trPr>
          <w:trHeight w:val="618"/>
        </w:trPr>
        <w:tc>
          <w:tcPr>
            <w:tcW w:w="4675" w:type="dxa"/>
            <w:vAlign w:val="center"/>
          </w:tcPr>
          <w:p w:rsidR="00D46AE3" w:rsidRPr="004260BE" w:rsidRDefault="00D46AE3" w:rsidP="00D46AE3">
            <w:pPr>
              <w:rPr>
                <w:rFonts w:ascii="Arial" w:hAnsi="Arial" w:cs="Arial"/>
                <w:sz w:val="24"/>
                <w:szCs w:val="24"/>
              </w:rPr>
            </w:pPr>
            <w:r w:rsidRPr="004260BE">
              <w:rPr>
                <w:rFonts w:ascii="Arial" w:hAnsi="Arial" w:cs="Arial"/>
                <w:sz w:val="24"/>
                <w:szCs w:val="24"/>
              </w:rPr>
              <w:t>Interscholastic athletics, grades 7 through 12 (on a case by case basis)</w:t>
            </w:r>
          </w:p>
        </w:tc>
        <w:tc>
          <w:tcPr>
            <w:tcW w:w="4675" w:type="dxa"/>
            <w:vAlign w:val="center"/>
          </w:tcPr>
          <w:p w:rsidR="00D46AE3" w:rsidRPr="00340E0A" w:rsidRDefault="00546933" w:rsidP="00D46AE3">
            <w:pPr>
              <w:rPr>
                <w:rFonts w:ascii="Arial" w:hAnsi="Arial" w:cs="Arial"/>
                <w:sz w:val="24"/>
                <w:szCs w:val="24"/>
              </w:rPr>
            </w:pPr>
            <w:r>
              <w:rPr>
                <w:rFonts w:ascii="Arial" w:hAnsi="Arial" w:cs="Arial"/>
                <w:sz w:val="24"/>
                <w:szCs w:val="24"/>
              </w:rPr>
              <w:t>No PE d</w:t>
            </w:r>
            <w:r w:rsidR="00340E0A">
              <w:rPr>
                <w:rFonts w:ascii="Arial" w:hAnsi="Arial" w:cs="Arial"/>
                <w:sz w:val="24"/>
                <w:szCs w:val="24"/>
              </w:rPr>
              <w:t xml:space="preserve">uring the semester </w:t>
            </w:r>
            <w:r>
              <w:rPr>
                <w:rFonts w:ascii="Arial" w:hAnsi="Arial" w:cs="Arial"/>
                <w:sz w:val="24"/>
                <w:szCs w:val="24"/>
              </w:rPr>
              <w:t xml:space="preserve">a student takes </w:t>
            </w:r>
            <w:r w:rsidR="00340E0A" w:rsidRPr="00340E0A">
              <w:rPr>
                <w:rFonts w:ascii="Arial" w:hAnsi="Arial" w:cs="Arial"/>
                <w:sz w:val="24"/>
                <w:szCs w:val="24"/>
              </w:rPr>
              <w:t>Driver Education</w:t>
            </w:r>
          </w:p>
        </w:tc>
      </w:tr>
      <w:tr w:rsidR="00D46AE3" w:rsidTr="00D46AE3">
        <w:trPr>
          <w:trHeight w:val="618"/>
        </w:trPr>
        <w:tc>
          <w:tcPr>
            <w:tcW w:w="4675" w:type="dxa"/>
            <w:vAlign w:val="center"/>
          </w:tcPr>
          <w:p w:rsidR="00D46AE3" w:rsidRPr="004260BE" w:rsidRDefault="00D46AE3" w:rsidP="00D46AE3">
            <w:pPr>
              <w:rPr>
                <w:rFonts w:ascii="Arial" w:hAnsi="Arial" w:cs="Arial"/>
                <w:sz w:val="24"/>
                <w:szCs w:val="24"/>
              </w:rPr>
            </w:pPr>
            <w:r w:rsidRPr="004260BE">
              <w:rPr>
                <w:rFonts w:ascii="Arial" w:hAnsi="Arial" w:cs="Arial"/>
                <w:sz w:val="24"/>
                <w:szCs w:val="24"/>
              </w:rPr>
              <w:t>Enrollment in academic classes required for admission to an institution of student’s choice if failure to take the course results in denied admission, grades 11 and 12</w:t>
            </w:r>
          </w:p>
        </w:tc>
        <w:tc>
          <w:tcPr>
            <w:tcW w:w="4675" w:type="dxa"/>
            <w:vAlign w:val="center"/>
          </w:tcPr>
          <w:p w:rsidR="00D46AE3" w:rsidRPr="00340E0A" w:rsidRDefault="00340E0A" w:rsidP="00D46AE3">
            <w:pPr>
              <w:rPr>
                <w:rFonts w:ascii="Arial" w:hAnsi="Arial" w:cs="Arial"/>
                <w:sz w:val="24"/>
                <w:szCs w:val="24"/>
              </w:rPr>
            </w:pPr>
            <w:r w:rsidRPr="00340E0A">
              <w:rPr>
                <w:rFonts w:ascii="Arial" w:hAnsi="Arial" w:cs="Arial"/>
                <w:sz w:val="24"/>
                <w:szCs w:val="24"/>
              </w:rPr>
              <w:t>Elementary Teacher Directed PE</w:t>
            </w:r>
            <w:r w:rsidR="006C6727">
              <w:rPr>
                <w:rFonts w:ascii="Arial" w:hAnsi="Arial" w:cs="Arial"/>
                <w:sz w:val="24"/>
                <w:szCs w:val="24"/>
              </w:rPr>
              <w:t xml:space="preserve"> in lieu of days with a certified PE teacher</w:t>
            </w:r>
          </w:p>
        </w:tc>
      </w:tr>
      <w:tr w:rsidR="00D46AE3" w:rsidTr="00D46AE3">
        <w:trPr>
          <w:trHeight w:val="618"/>
        </w:trPr>
        <w:tc>
          <w:tcPr>
            <w:tcW w:w="4675" w:type="dxa"/>
            <w:vAlign w:val="center"/>
          </w:tcPr>
          <w:p w:rsidR="00D46AE3" w:rsidRPr="004260BE" w:rsidRDefault="00D46AE3" w:rsidP="00D46AE3">
            <w:pPr>
              <w:rPr>
                <w:rFonts w:ascii="Arial" w:hAnsi="Arial" w:cs="Arial"/>
                <w:sz w:val="24"/>
                <w:szCs w:val="24"/>
              </w:rPr>
            </w:pPr>
            <w:r w:rsidRPr="004260BE">
              <w:rPr>
                <w:rFonts w:ascii="Arial" w:hAnsi="Arial" w:cs="Arial"/>
                <w:sz w:val="24"/>
                <w:szCs w:val="24"/>
              </w:rPr>
              <w:t>Enrollment in classes required for graduation if failure to tak</w:t>
            </w:r>
            <w:r w:rsidR="006C6727">
              <w:rPr>
                <w:rFonts w:ascii="Arial" w:hAnsi="Arial" w:cs="Arial"/>
                <w:sz w:val="24"/>
                <w:szCs w:val="24"/>
              </w:rPr>
              <w:t>e the course results in the student</w:t>
            </w:r>
            <w:r w:rsidRPr="004260BE">
              <w:rPr>
                <w:rFonts w:ascii="Arial" w:hAnsi="Arial" w:cs="Arial"/>
                <w:sz w:val="24"/>
                <w:szCs w:val="24"/>
              </w:rPr>
              <w:t xml:space="preserve"> being unable to graduate, grades 11 and 12</w:t>
            </w:r>
          </w:p>
        </w:tc>
        <w:tc>
          <w:tcPr>
            <w:tcW w:w="4675" w:type="dxa"/>
            <w:vAlign w:val="center"/>
          </w:tcPr>
          <w:p w:rsidR="00D46AE3" w:rsidRPr="00340E0A" w:rsidRDefault="00546933" w:rsidP="00D46AE3">
            <w:pPr>
              <w:rPr>
                <w:rFonts w:ascii="Arial" w:hAnsi="Arial" w:cs="Arial"/>
                <w:sz w:val="24"/>
                <w:szCs w:val="24"/>
              </w:rPr>
            </w:pPr>
            <w:r>
              <w:rPr>
                <w:rFonts w:ascii="Arial" w:hAnsi="Arial" w:cs="Arial"/>
                <w:sz w:val="24"/>
                <w:szCs w:val="24"/>
              </w:rPr>
              <w:t>A student t</w:t>
            </w:r>
            <w:r w:rsidR="00340E0A" w:rsidRPr="00340E0A">
              <w:rPr>
                <w:rFonts w:ascii="Arial" w:hAnsi="Arial" w:cs="Arial"/>
                <w:sz w:val="24"/>
                <w:szCs w:val="24"/>
              </w:rPr>
              <w:t>aking 5 acade</w:t>
            </w:r>
            <w:r w:rsidR="00340E0A">
              <w:rPr>
                <w:rFonts w:ascii="Arial" w:hAnsi="Arial" w:cs="Arial"/>
                <w:sz w:val="24"/>
                <w:szCs w:val="24"/>
              </w:rPr>
              <w:t>mic classes</w:t>
            </w:r>
          </w:p>
        </w:tc>
      </w:tr>
      <w:tr w:rsidR="00D46AE3" w:rsidTr="00D46AE3">
        <w:trPr>
          <w:trHeight w:val="618"/>
        </w:trPr>
        <w:tc>
          <w:tcPr>
            <w:tcW w:w="4675" w:type="dxa"/>
            <w:vAlign w:val="center"/>
          </w:tcPr>
          <w:p w:rsidR="00D46AE3" w:rsidRPr="004260BE" w:rsidRDefault="00D46AE3" w:rsidP="00D46AE3">
            <w:pPr>
              <w:rPr>
                <w:rFonts w:ascii="Arial" w:hAnsi="Arial" w:cs="Arial"/>
                <w:sz w:val="24"/>
                <w:szCs w:val="24"/>
              </w:rPr>
            </w:pPr>
            <w:r w:rsidRPr="004260BE">
              <w:rPr>
                <w:rFonts w:ascii="Arial" w:hAnsi="Arial" w:cs="Arial"/>
                <w:sz w:val="24"/>
                <w:szCs w:val="24"/>
              </w:rPr>
              <w:t>Marching band, grades 9 through 12</w:t>
            </w:r>
          </w:p>
        </w:tc>
        <w:tc>
          <w:tcPr>
            <w:tcW w:w="4675" w:type="dxa"/>
            <w:vAlign w:val="center"/>
          </w:tcPr>
          <w:p w:rsidR="00D46AE3" w:rsidRPr="00340E0A" w:rsidRDefault="00546933" w:rsidP="00D46AE3">
            <w:pPr>
              <w:rPr>
                <w:rFonts w:ascii="Arial" w:hAnsi="Arial" w:cs="Arial"/>
                <w:sz w:val="24"/>
                <w:szCs w:val="24"/>
              </w:rPr>
            </w:pPr>
            <w:r>
              <w:rPr>
                <w:rFonts w:ascii="Arial" w:hAnsi="Arial" w:cs="Arial"/>
                <w:sz w:val="24"/>
                <w:szCs w:val="24"/>
              </w:rPr>
              <w:t>A s</w:t>
            </w:r>
            <w:r w:rsidR="00340E0A">
              <w:rPr>
                <w:rFonts w:ascii="Arial" w:hAnsi="Arial" w:cs="Arial"/>
                <w:sz w:val="24"/>
                <w:szCs w:val="24"/>
              </w:rPr>
              <w:t xml:space="preserve">tudent in </w:t>
            </w:r>
            <w:r w:rsidR="00340E0A" w:rsidRPr="00340E0A">
              <w:rPr>
                <w:rFonts w:ascii="Arial" w:hAnsi="Arial" w:cs="Arial"/>
                <w:sz w:val="24"/>
                <w:szCs w:val="24"/>
              </w:rPr>
              <w:t>Competitive Show Choir</w:t>
            </w:r>
          </w:p>
        </w:tc>
      </w:tr>
      <w:tr w:rsidR="00D46AE3" w:rsidTr="00D46AE3">
        <w:trPr>
          <w:trHeight w:val="618"/>
        </w:trPr>
        <w:tc>
          <w:tcPr>
            <w:tcW w:w="4675" w:type="dxa"/>
            <w:vAlign w:val="center"/>
          </w:tcPr>
          <w:p w:rsidR="00D46AE3" w:rsidRPr="004260BE" w:rsidRDefault="006C6727" w:rsidP="00D46AE3">
            <w:pPr>
              <w:rPr>
                <w:rFonts w:ascii="Arial" w:hAnsi="Arial" w:cs="Arial"/>
                <w:sz w:val="24"/>
                <w:szCs w:val="24"/>
              </w:rPr>
            </w:pPr>
            <w:r>
              <w:rPr>
                <w:rFonts w:ascii="Arial" w:hAnsi="Arial" w:cs="Arial"/>
                <w:sz w:val="24"/>
                <w:szCs w:val="24"/>
              </w:rPr>
              <w:t xml:space="preserve">Special Education </w:t>
            </w:r>
            <w:r w:rsidR="00D46AE3" w:rsidRPr="004260BE">
              <w:rPr>
                <w:rFonts w:ascii="Arial" w:hAnsi="Arial" w:cs="Arial"/>
                <w:sz w:val="24"/>
                <w:szCs w:val="24"/>
              </w:rPr>
              <w:t>IEP, grades 3 through 12</w:t>
            </w:r>
          </w:p>
        </w:tc>
        <w:tc>
          <w:tcPr>
            <w:tcW w:w="4675" w:type="dxa"/>
            <w:vAlign w:val="center"/>
          </w:tcPr>
          <w:p w:rsidR="00D46AE3" w:rsidRPr="00340E0A" w:rsidRDefault="00546933" w:rsidP="00D46AE3">
            <w:pPr>
              <w:rPr>
                <w:rFonts w:ascii="Arial" w:hAnsi="Arial" w:cs="Arial"/>
                <w:sz w:val="24"/>
                <w:szCs w:val="24"/>
              </w:rPr>
            </w:pPr>
            <w:r>
              <w:rPr>
                <w:rFonts w:ascii="Arial" w:hAnsi="Arial" w:cs="Arial"/>
                <w:sz w:val="24"/>
                <w:szCs w:val="24"/>
              </w:rPr>
              <w:t>A student t</w:t>
            </w:r>
            <w:r w:rsidR="00340E0A" w:rsidRPr="00340E0A">
              <w:rPr>
                <w:rFonts w:ascii="Arial" w:hAnsi="Arial" w:cs="Arial"/>
                <w:sz w:val="24"/>
                <w:szCs w:val="24"/>
              </w:rPr>
              <w:t>aking 2 or more AP classes</w:t>
            </w:r>
          </w:p>
        </w:tc>
      </w:tr>
      <w:tr w:rsidR="00D46AE3" w:rsidTr="00D46AE3">
        <w:trPr>
          <w:trHeight w:val="618"/>
        </w:trPr>
        <w:tc>
          <w:tcPr>
            <w:tcW w:w="4675" w:type="dxa"/>
            <w:vAlign w:val="center"/>
          </w:tcPr>
          <w:p w:rsidR="00D46AE3" w:rsidRPr="004260BE" w:rsidRDefault="004260BE" w:rsidP="00D46AE3">
            <w:pPr>
              <w:rPr>
                <w:rFonts w:ascii="Arial" w:hAnsi="Arial" w:cs="Arial"/>
                <w:sz w:val="24"/>
                <w:szCs w:val="24"/>
              </w:rPr>
            </w:pPr>
            <w:r w:rsidRPr="004260BE">
              <w:rPr>
                <w:rFonts w:ascii="Arial" w:hAnsi="Arial" w:cs="Arial"/>
                <w:sz w:val="24"/>
                <w:szCs w:val="24"/>
              </w:rPr>
              <w:t>ROTC, grades 9 through 12</w:t>
            </w:r>
          </w:p>
        </w:tc>
        <w:tc>
          <w:tcPr>
            <w:tcW w:w="4675" w:type="dxa"/>
            <w:vAlign w:val="center"/>
          </w:tcPr>
          <w:p w:rsidR="00D46AE3" w:rsidRPr="006C6727" w:rsidRDefault="00340E0A" w:rsidP="00D46AE3">
            <w:pPr>
              <w:rPr>
                <w:rFonts w:ascii="Arial" w:hAnsi="Arial" w:cs="Arial"/>
                <w:b/>
                <w:i/>
                <w:sz w:val="24"/>
                <w:szCs w:val="24"/>
              </w:rPr>
            </w:pPr>
            <w:r w:rsidRPr="006C6727">
              <w:rPr>
                <w:rFonts w:ascii="Arial" w:hAnsi="Arial" w:cs="Arial"/>
                <w:b/>
                <w:i/>
                <w:sz w:val="24"/>
                <w:szCs w:val="24"/>
              </w:rPr>
              <w:t>Anything else the school board asks for</w:t>
            </w:r>
            <w:r w:rsidR="006C6727">
              <w:rPr>
                <w:rFonts w:ascii="Arial" w:hAnsi="Arial" w:cs="Arial"/>
                <w:b/>
                <w:i/>
                <w:sz w:val="24"/>
                <w:szCs w:val="24"/>
              </w:rPr>
              <w:t>…</w:t>
            </w:r>
          </w:p>
        </w:tc>
      </w:tr>
    </w:tbl>
    <w:p w:rsidR="00095DA8" w:rsidRPr="00095DA8" w:rsidRDefault="00095DA8"/>
    <w:p w:rsidR="00095DA8" w:rsidRDefault="00095DA8"/>
    <w:p w:rsidR="00CD3E05" w:rsidRDefault="00CD3E05" w:rsidP="00CD3E05">
      <w:r>
        <w:t xml:space="preserve"> </w:t>
      </w:r>
    </w:p>
    <w:p w:rsidR="00D46AE3" w:rsidRDefault="00D46AE3" w:rsidP="00CD3E05"/>
    <w:p w:rsidR="00D46AE3" w:rsidRDefault="00D46AE3" w:rsidP="00CD3E05"/>
    <w:p w:rsidR="00D46AE3" w:rsidRDefault="00D46AE3" w:rsidP="00CD3E05"/>
    <w:p w:rsidR="00D46AE3" w:rsidRDefault="00D46AE3" w:rsidP="00CD3E05"/>
    <w:p w:rsidR="00D46AE3" w:rsidRDefault="00D46AE3" w:rsidP="00CD3E05"/>
    <w:p w:rsidR="00D46AE3" w:rsidRDefault="00D46AE3" w:rsidP="00CD3E05"/>
    <w:p w:rsidR="00D46AE3" w:rsidRDefault="00D46AE3" w:rsidP="00CD3E05"/>
    <w:p w:rsidR="00D46AE3" w:rsidRDefault="00D46AE3" w:rsidP="00CD3E05"/>
    <w:p w:rsidR="00CD3E05" w:rsidRPr="00340E0A" w:rsidRDefault="00CD3E05" w:rsidP="00CD3E05">
      <w:pPr>
        <w:rPr>
          <w:rFonts w:ascii="Arial" w:hAnsi="Arial" w:cs="Arial"/>
          <w:sz w:val="24"/>
          <w:szCs w:val="24"/>
        </w:rPr>
      </w:pPr>
      <w:r w:rsidRPr="00340E0A">
        <w:rPr>
          <w:rFonts w:ascii="Arial" w:hAnsi="Arial" w:cs="Arial"/>
          <w:sz w:val="24"/>
          <w:szCs w:val="24"/>
        </w:rPr>
        <w:t xml:space="preserve">When the Waiver Response chair is contacted by anyone with concerns about a local waiver hearing, that person </w:t>
      </w:r>
      <w:r w:rsidR="006C6727">
        <w:rPr>
          <w:rFonts w:ascii="Arial" w:hAnsi="Arial" w:cs="Arial"/>
          <w:sz w:val="24"/>
          <w:szCs w:val="24"/>
        </w:rPr>
        <w:t xml:space="preserve">is directed </w:t>
      </w:r>
      <w:r w:rsidRPr="00340E0A">
        <w:rPr>
          <w:rFonts w:ascii="Arial" w:hAnsi="Arial" w:cs="Arial"/>
          <w:sz w:val="24"/>
          <w:szCs w:val="24"/>
        </w:rPr>
        <w:t>to resources made available on our website and offer</w:t>
      </w:r>
      <w:r w:rsidR="006C6727">
        <w:rPr>
          <w:rFonts w:ascii="Arial" w:hAnsi="Arial" w:cs="Arial"/>
          <w:sz w:val="24"/>
          <w:szCs w:val="24"/>
        </w:rPr>
        <w:t>ed</w:t>
      </w:r>
      <w:r w:rsidRPr="00340E0A">
        <w:rPr>
          <w:rFonts w:ascii="Arial" w:hAnsi="Arial" w:cs="Arial"/>
          <w:sz w:val="24"/>
          <w:szCs w:val="24"/>
        </w:rPr>
        <w:t xml:space="preserve"> strategies and suggestions to prepare for an effective argument at the public hearing.</w:t>
      </w:r>
    </w:p>
    <w:p w:rsidR="00CD3E05" w:rsidRPr="00340E0A" w:rsidRDefault="00CD3E05" w:rsidP="00CD3E05">
      <w:pPr>
        <w:rPr>
          <w:rFonts w:ascii="Arial" w:hAnsi="Arial" w:cs="Arial"/>
          <w:sz w:val="24"/>
          <w:szCs w:val="24"/>
        </w:rPr>
      </w:pPr>
      <w:r w:rsidRPr="00340E0A">
        <w:rPr>
          <w:rFonts w:ascii="Arial" w:hAnsi="Arial" w:cs="Arial"/>
          <w:sz w:val="24"/>
          <w:szCs w:val="24"/>
        </w:rPr>
        <w:t xml:space="preserve">It is the philosophy of the Waiver Response committee and IAHPERD that </w:t>
      </w:r>
      <w:r w:rsidR="008925A9" w:rsidRPr="00340E0A">
        <w:rPr>
          <w:rFonts w:ascii="Arial" w:hAnsi="Arial" w:cs="Arial"/>
          <w:sz w:val="24"/>
          <w:szCs w:val="24"/>
        </w:rPr>
        <w:t xml:space="preserve">the organization is here for support and resources.  </w:t>
      </w:r>
      <w:r w:rsidR="008925A9" w:rsidRPr="005E0E0B">
        <w:rPr>
          <w:rFonts w:ascii="Arial" w:hAnsi="Arial" w:cs="Arial"/>
          <w:b/>
          <w:i/>
          <w:sz w:val="24"/>
          <w:szCs w:val="24"/>
          <w:u w:val="single"/>
        </w:rPr>
        <w:t>We cannot do the work of the local community, teachers, and other vested parties to promote the local program</w:t>
      </w:r>
      <w:r w:rsidR="008925A9" w:rsidRPr="00340E0A">
        <w:rPr>
          <w:rFonts w:ascii="Arial" w:hAnsi="Arial" w:cs="Arial"/>
          <w:sz w:val="24"/>
          <w:szCs w:val="24"/>
        </w:rPr>
        <w:t xml:space="preserve">.  Unfortunately, once the public hearing is called, although it is </w:t>
      </w:r>
      <w:r w:rsidR="005E0E0B">
        <w:rPr>
          <w:rFonts w:ascii="Arial" w:hAnsi="Arial" w:cs="Arial"/>
          <w:sz w:val="24"/>
          <w:szCs w:val="24"/>
        </w:rPr>
        <w:t>vitally important that a strong</w:t>
      </w:r>
      <w:r w:rsidR="008925A9" w:rsidRPr="00340E0A">
        <w:rPr>
          <w:rFonts w:ascii="Arial" w:hAnsi="Arial" w:cs="Arial"/>
          <w:sz w:val="24"/>
          <w:szCs w:val="24"/>
        </w:rPr>
        <w:t xml:space="preserve"> educated argument against the waiver be presented, little can be done to stop the waiver from being approved.</w:t>
      </w:r>
    </w:p>
    <w:p w:rsidR="008925A9" w:rsidRPr="00340E0A" w:rsidRDefault="008925A9" w:rsidP="00CD3E05">
      <w:pPr>
        <w:rPr>
          <w:rFonts w:ascii="Arial" w:hAnsi="Arial" w:cs="Arial"/>
          <w:sz w:val="24"/>
          <w:szCs w:val="24"/>
        </w:rPr>
      </w:pPr>
      <w:r w:rsidRPr="00340E0A">
        <w:rPr>
          <w:rFonts w:ascii="Arial" w:hAnsi="Arial" w:cs="Arial"/>
          <w:sz w:val="24"/>
          <w:szCs w:val="24"/>
        </w:rPr>
        <w:t xml:space="preserve">Once a school board approves a waiver, the application is sent to the ISBE who merely ensures that the proper procedure was followed and does not police the content of the waiver request.  It then goes to the Illinois House and Senate Education Committees.  If possible, the Waiver Response chair will testify at those hearings in Springfield.  Once the waivers are approved in committee, they are voted on by the General Assembly and kids are then deprived of any meaningful </w:t>
      </w:r>
      <w:r w:rsidR="00546933">
        <w:rPr>
          <w:rFonts w:ascii="Arial" w:hAnsi="Arial" w:cs="Arial"/>
          <w:sz w:val="24"/>
          <w:szCs w:val="24"/>
        </w:rPr>
        <w:t>Physical Education instruction, exercise, and movement.</w:t>
      </w:r>
    </w:p>
    <w:sectPr w:rsidR="008925A9" w:rsidRPr="00340E0A" w:rsidSect="00095D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86C7B"/>
    <w:multiLevelType w:val="hybridMultilevel"/>
    <w:tmpl w:val="F9908BA4"/>
    <w:lvl w:ilvl="0" w:tplc="CEBCA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05"/>
    <w:rsid w:val="00095DA8"/>
    <w:rsid w:val="00340E0A"/>
    <w:rsid w:val="004260BE"/>
    <w:rsid w:val="00546933"/>
    <w:rsid w:val="005E0E0B"/>
    <w:rsid w:val="00696302"/>
    <w:rsid w:val="006C6727"/>
    <w:rsid w:val="006F6243"/>
    <w:rsid w:val="0071224D"/>
    <w:rsid w:val="008925A9"/>
    <w:rsid w:val="00CD3E05"/>
    <w:rsid w:val="00D4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066C"/>
  <w15:docId w15:val="{9980484A-7B06-4EA5-A191-9734F26F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E05"/>
    <w:pPr>
      <w:ind w:left="720"/>
      <w:contextualSpacing/>
    </w:pPr>
  </w:style>
  <w:style w:type="table" w:styleId="TableGrid">
    <w:name w:val="Table Grid"/>
    <w:basedOn w:val="TableNormal"/>
    <w:uiPriority w:val="59"/>
    <w:rsid w:val="0009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shannonpennington</dc:creator>
  <cp:lastModifiedBy>Van Mersbergen, Brian F</cp:lastModifiedBy>
  <cp:revision>6</cp:revision>
  <dcterms:created xsi:type="dcterms:W3CDTF">2019-04-17T16:23:00Z</dcterms:created>
  <dcterms:modified xsi:type="dcterms:W3CDTF">2019-04-17T20:00:00Z</dcterms:modified>
</cp:coreProperties>
</file>